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media/rId912.png" ContentType="image/png"/>
  <Override PartName="/word/media/" ContentType="application/octet-stream"/>
  <Override PartName="/word/media/logo.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From request to result</w:t>
      </w:r>
    </w:p>
    <w:p>
      <w:pPr>
        <w:pStyle w:val="Subtitle"/>
      </w:pPr>
      <w:r>
        <w:t xml:space="preserve">A practical guide to coordinated AI work</w:t>
      </w:r>
    </w:p>
    <w:p>
      <w:pPr>
        <w:pStyle w:val="Author"/>
      </w:pPr>
      <w:r>
        <w:t xml:space="preserve">Teamwright</w:t>
      </w:r>
    </w:p>
    <w:p>
      <w:pPr>
        <w:pStyle w:val="Date"/>
      </w:pPr>
      <w:r>
        <w:t xml:space="preserve">9 October 2026</w:t>
      </w:r>
    </w:p>
    <w:p>
      <w:pPr>
        <w:pStyle w:val="AbstractTitle"/>
      </w:pPr>
      <w:r>
        <w:t xml:space="preserve">Abstract</w:t>
      </w:r>
    </w:p>
    <w:p>
      <w:pPr>
        <w:pStyle w:val="Abstract"/>
      </w:pPr>
      <w:r>
        <w:t xml:space="preserve">People, AI agents, and connected tools work best when the outcome, context, and review points are clear. This fictional example demonstrates the Teamwright document style without making claims about a live workflow.</w:t>
      </w:r>
    </w:p>
    <w:bookmarkStart w:id="919" w:name="work-that-people-can-follow"/>
    <w:p>
      <w:pPr>
        <w:pStyle w:val="Heading1"/>
      </w:pPr>
      <w:r>
        <w:t xml:space="preserve">Work that people can follow</w:t>
      </w:r>
    </w:p>
    <w:p>
      <w:pPr>
        <w:pStyle w:val="FirstParagraph"/>
      </w:pPr>
      <w:r>
        <w:t xml:space="preserve">Teamwright is an AI workforce platform where people, AI agents, and connected tools work together. It brings conversations, tasks, workflows, shared knowledge, and approvals into one workspace, helping teams turn requests into usable results.</w:t>
      </w:r>
    </w:p>
    <w:p>
      <w:pPr>
        <w:pStyle w:val="BodyText"/>
      </w:pPr>
      <w:r>
        <w:t xml:space="preserve">A request is the beginning. Useful work also needs relevant context, a visible owner, and a result that people can inspect. The example below shows how those pieces can connect.</w:t>
      </w:r>
    </w:p>
    <w:p>
      <w:pPr>
        <w:pStyle w:val="Callout"/>
      </w:pPr>
      <w:r>
        <w:rPr>
          <w:b/>
          <w:bCs/>
        </w:rPr>
        <w:t xml:space="preserve">Illustrative example.</w:t>
      </w:r>
      <w:r>
        <w:t xml:space="preserve"> </w:t>
      </w:r>
      <w:r>
        <w:t xml:space="preserve">Names and content in this document are fictional. The sequence is a design example, not a promise of current product functionality.</w:t>
      </w:r>
    </w:p>
    <w:bookmarkStart w:id="918" w:name="an-example-the-weekly-customer-brief"/>
    <w:p>
      <w:pPr>
        <w:pStyle w:val="Heading2"/>
      </w:pPr>
      <w:r>
        <w:t xml:space="preserve">An example: the weekly customer brief</w:t>
      </w:r>
    </w:p>
    <w:p>
      <w:pPr>
        <w:pStyle w:val="FirstParagraph"/>
      </w:pPr>
      <w:r>
        <w:t xml:space="preserve">A team wants a short brief covering customer feedback and open follow-up items. Riley asks for a draft. A research agent works from the sources supplied by the team. Morgan reviews the proposed result where the workflow requires it.</w:t>
      </w:r>
    </w:p>
    <w:p>
      <w:pPr>
        <w:pStyle w:val="CaptionedFigure"/>
      </w:pPr>
      <w:r>
        <w:drawing>
          <wp:inline>
            <wp:extent cx="5486400" cy="1002323"/>
            <wp:effectExtent b="0" l="0" r="0" t="0"/>
            <wp:docPr descr="Illustrative workflow: request, context, execution, review where required, and result." title="" id="913" name="Picture"/>
            <a:graphic>
              <a:graphicData uri="http://schemas.openxmlformats.org/drawingml/2006/picture">
                <pic:pic>
                  <pic:nvPicPr>
                    <pic:cNvPr descr="examples/workflow.png" id="914" name="Picture"/>
                    <pic:cNvPicPr>
                      <a:picLocks noChangeArrowheads="1" noChangeAspect="1"/>
                    </pic:cNvPicPr>
                  </pic:nvPicPr>
                  <pic:blipFill>
                    <a:blip r:embed="rId912"/>
                    <a:stretch>
                      <a:fillRect/>
                    </a:stretch>
                  </pic:blipFill>
                  <pic:spPr bwMode="auto">
                    <a:xfrm>
                      <a:off x="0" y="0"/>
                      <a:ext cx="5486400" cy="1002323"/>
                    </a:xfrm>
                    <a:prstGeom prst="rect">
                      <a:avLst/>
                    </a:prstGeom>
                    <a:noFill/>
                    <a:ln w="9525">
                      <a:noFill/>
                      <a:headEnd/>
                      <a:tailEnd/>
                    </a:ln>
                  </pic:spPr>
                </pic:pic>
              </a:graphicData>
            </a:graphic>
          </wp:inline>
        </w:drawing>
      </w:r>
    </w:p>
    <w:p>
      <w:pPr>
        <w:pStyle w:val="ImageCaption"/>
      </w:pPr>
      <w:r>
        <w:t xml:space="preserve">Illustrative workflow: request, context, execution, review where required, and result.</w:t>
      </w:r>
    </w:p>
    <w:bookmarkStart w:id="915" w:name="define-the-outcome"/>
    <w:p>
      <w:pPr>
        <w:pStyle w:val="Heading3"/>
      </w:pPr>
      <w:r>
        <w:t xml:space="preserve">Define the outcome</w:t>
      </w:r>
    </w:p>
    <w:p>
      <w:pPr>
        <w:pStyle w:val="FirstParagraph"/>
      </w:pPr>
      <w:r>
        <w:t xml:space="preserve">Write a request people can evaluate: “Prepare a one-page customer brief with the main themes, supporting sources, and open questions.” This makes the output and its boundaries clear.</w:t>
      </w:r>
    </w:p>
    <w:bookmarkEnd w:id="915"/>
    <w:bookmarkStart w:id="916" w:name="bring-the-right-context"/>
    <w:p>
      <w:pPr>
        <w:pStyle w:val="Heading3"/>
      </w:pPr>
      <w:r>
        <w:t xml:space="preserve">Bring the right context</w:t>
      </w:r>
    </w:p>
    <w:p>
      <w:pPr>
        <w:pStyle w:val="FirstParagraph"/>
      </w:pPr>
      <w:r>
        <w:t xml:space="preserve">Include the source notes, the period covered, and the audience. The draft should cite the supplied material rather than filling gaps with invented facts.</w:t>
      </w:r>
    </w:p>
    <w:bookmarkEnd w:id="916"/>
    <w:bookmarkStart w:id="917" w:name="review-the-proposed-result"/>
    <w:p>
      <w:pPr>
        <w:pStyle w:val="Heading3"/>
      </w:pPr>
      <w:r>
        <w:t xml:space="preserve">Review the proposed result</w:t>
      </w:r>
    </w:p>
    <w:p>
      <w:pPr>
        <w:pStyle w:val="FirstParagraph"/>
      </w:pPr>
      <w:r>
        <w:t xml:space="preserve">Review facts and unresolved questions. An approval in this example applies to this output; it does not mean all actions across Teamwright require approval.</w:t>
      </w:r>
    </w:p>
    <w:bookmarkEnd w:id="917"/>
    <w:bookmarkEnd w:id="918"/>
    <w:bookmarkEnd w:id="919"/>
    <w:bookmarkStart w:id="923" w:name="a-clear-working-agreement"/>
    <w:p>
      <w:pPr>
        <w:pStyle w:val="Heading1"/>
      </w:pPr>
      <w:r>
        <w:t xml:space="preserve">A clear working agreement</w:t>
      </w:r>
    </w:p>
    <w:p>
      <w:pPr>
        <w:pStyle w:val="TableCaption"/>
      </w:pPr>
      <w:r>
        <w:t xml:space="preserve">Responsibilities in this fictional example</w:t>
      </w:r>
    </w:p>
    <w:tbl>
      <w:tblPr>
        <w:tblStyle w:val="Table"/>
        <w:tblW w:type="auto" w:w="0"/>
        <w:tblLook w:firstRow="1" w:lastRow="0" w:firstColumn="0" w:lastColumn="0" w:noHBand="0" w:noVBand="0" w:val="0020"/>
        <w:tblCaption w:val="Responsibilities in this fictional example"/>
      </w:tblPr>
      <w:tblGrid>
        <w:gridCol w:w="2640"/>
        <w:gridCol w:w="2640"/>
        <w:gridCol w:w="2640"/>
      </w:tblGrid>
      <w:tr>
        <w:trPr>
          <w:tblHeader w:val="on"/>
        </w:trPr>
        <w:tc>
          <w:tcPr/>
          <w:p>
            <w:pPr>
              <w:pStyle w:val="Compact"/>
              <w:jc w:val="left"/>
            </w:pPr>
            <w:r>
              <w:t xml:space="preserve">Step</w:t>
            </w:r>
          </w:p>
        </w:tc>
        <w:tc>
          <w:tcPr/>
          <w:p>
            <w:pPr>
              <w:pStyle w:val="Compact"/>
              <w:jc w:val="left"/>
            </w:pPr>
            <w:r>
              <w:t xml:space="preserve">Responsible actor</w:t>
            </w:r>
          </w:p>
        </w:tc>
        <w:tc>
          <w:tcPr/>
          <w:p>
            <w:pPr>
              <w:pStyle w:val="Compact"/>
              <w:jc w:val="left"/>
            </w:pPr>
            <w:r>
              <w:t xml:space="preserve">Expected output</w:t>
            </w:r>
          </w:p>
        </w:tc>
      </w:tr>
      <w:tr>
        <w:tc>
          <w:tcPr/>
          <w:p>
            <w:pPr>
              <w:pStyle w:val="Compact"/>
              <w:jc w:val="left"/>
            </w:pPr>
            <w:r>
              <w:t xml:space="preserve">Request</w:t>
            </w:r>
          </w:p>
        </w:tc>
        <w:tc>
          <w:tcPr/>
          <w:p>
            <w:pPr>
              <w:pStyle w:val="Compact"/>
              <w:jc w:val="left"/>
            </w:pPr>
            <w:r>
              <w:t xml:space="preserve">Riley, team member</w:t>
            </w:r>
          </w:p>
        </w:tc>
        <w:tc>
          <w:tcPr/>
          <w:p>
            <w:pPr>
              <w:pStyle w:val="Compact"/>
              <w:jc w:val="left"/>
            </w:pPr>
            <w:r>
              <w:t xml:space="preserve">Outcome, audience, source scope</w:t>
            </w:r>
          </w:p>
        </w:tc>
      </w:tr>
      <w:tr>
        <w:tc>
          <w:tcPr/>
          <w:p>
            <w:pPr>
              <w:pStyle w:val="Compact"/>
              <w:jc w:val="left"/>
            </w:pPr>
            <w:r>
              <w:t xml:space="preserve">Prepare</w:t>
            </w:r>
          </w:p>
        </w:tc>
        <w:tc>
          <w:tcPr/>
          <w:p>
            <w:pPr>
              <w:pStyle w:val="Compact"/>
              <w:jc w:val="left"/>
            </w:pPr>
            <w:r>
              <w:t xml:space="preserve">Research agent</w:t>
            </w:r>
          </w:p>
        </w:tc>
        <w:tc>
          <w:tcPr/>
          <w:p>
            <w:pPr>
              <w:pStyle w:val="Compact"/>
              <w:jc w:val="left"/>
            </w:pPr>
            <w:r>
              <w:t xml:space="preserve">Draft with source references</w:t>
            </w:r>
          </w:p>
        </w:tc>
      </w:tr>
      <w:tr>
        <w:tc>
          <w:tcPr/>
          <w:p>
            <w:pPr>
              <w:pStyle w:val="Compact"/>
              <w:jc w:val="left"/>
            </w:pPr>
            <w:r>
              <w:t xml:space="preserve">Review</w:t>
            </w:r>
          </w:p>
        </w:tc>
        <w:tc>
          <w:tcPr/>
          <w:p>
            <w:pPr>
              <w:pStyle w:val="Compact"/>
              <w:jc w:val="left"/>
            </w:pPr>
            <w:r>
              <w:t xml:space="preserve">Morgan, reviewer</w:t>
            </w:r>
          </w:p>
        </w:tc>
        <w:tc>
          <w:tcPr/>
          <w:p>
            <w:pPr>
              <w:pStyle w:val="Compact"/>
              <w:jc w:val="left"/>
            </w:pPr>
            <w:r>
              <w:t xml:space="preserve">Feedback or decision where required</w:t>
            </w:r>
          </w:p>
        </w:tc>
      </w:tr>
      <w:tr>
        <w:tc>
          <w:tcPr/>
          <w:p>
            <w:pPr>
              <w:pStyle w:val="Compact"/>
              <w:jc w:val="left"/>
            </w:pPr>
            <w:r>
              <w:t xml:space="preserve">Use</w:t>
            </w:r>
          </w:p>
        </w:tc>
        <w:tc>
          <w:tcPr/>
          <w:p>
            <w:pPr>
              <w:pStyle w:val="Compact"/>
              <w:jc w:val="left"/>
            </w:pPr>
            <w:r>
              <w:t xml:space="preserve">Team</w:t>
            </w:r>
          </w:p>
        </w:tc>
        <w:tc>
          <w:tcPr/>
          <w:p>
            <w:pPr>
              <w:pStyle w:val="Compact"/>
              <w:jc w:val="left"/>
            </w:pPr>
            <w:r>
              <w:t xml:space="preserve">Reviewed brief and next steps</w:t>
            </w:r>
          </w:p>
        </w:tc>
      </w:tr>
    </w:tbl>
    <w:bookmarkStart w:id="920" w:name="what-to-check"/>
    <w:p>
      <w:pPr>
        <w:pStyle w:val="Heading2"/>
      </w:pPr>
      <w:r>
        <w:t xml:space="preserve">What to check</w:t>
      </w:r>
    </w:p>
    <w:p>
      <w:pPr>
        <w:pStyle w:val="Compact"/>
        <w:numPr>
          <w:ilvl w:val="0"/>
          <w:numId w:val="1001"/>
        </w:numPr>
      </w:pPr>
      <w:r>
        <w:t xml:space="preserve">The summary matches the source material.</w:t>
      </w:r>
    </w:p>
    <w:p>
      <w:pPr>
        <w:pStyle w:val="Compact"/>
        <w:numPr>
          <w:ilvl w:val="0"/>
          <w:numId w:val="1001"/>
        </w:numPr>
      </w:pPr>
      <w:r>
        <w:t xml:space="preserve">Every material statement has support.</w:t>
      </w:r>
    </w:p>
    <w:p>
      <w:pPr>
        <w:pStyle w:val="Compact"/>
        <w:numPr>
          <w:ilvl w:val="0"/>
          <w:numId w:val="1001"/>
        </w:numPr>
      </w:pPr>
      <w:r>
        <w:t xml:space="preserve">Unresolved information is labeled.</w:t>
      </w:r>
    </w:p>
    <w:p>
      <w:pPr>
        <w:pStyle w:val="Compact"/>
        <w:numPr>
          <w:ilvl w:val="0"/>
          <w:numId w:val="1001"/>
        </w:numPr>
      </w:pPr>
      <w:r>
        <w:t xml:space="preserve">Proposed external actions identify the target and consequence.</w:t>
      </w:r>
    </w:p>
    <w:p>
      <w:pPr>
        <w:pStyle w:val="Compact"/>
        <w:numPr>
          <w:ilvl w:val="0"/>
          <w:numId w:val="1001"/>
        </w:numPr>
      </w:pPr>
      <w:r>
        <w:t xml:space="preserve">A person can inspect the result without reading the entire activity history.</w:t>
      </w:r>
    </w:p>
    <w:p>
      <w:pPr>
        <w:pStyle w:val="BlockText"/>
      </w:pPr>
      <w:r>
        <w:t xml:space="preserve">Good oversight starts with work people can understand.</w:t>
      </w:r>
    </w:p>
    <w:bookmarkEnd w:id="920"/>
    <w:bookmarkStart w:id="922" w:name="example-draft-format"/>
    <w:p>
      <w:pPr>
        <w:pStyle w:val="Heading2"/>
      </w:pPr>
      <w:r>
        <w:t xml:space="preserve">Example draft format</w:t>
      </w:r>
    </w:p>
    <w:p>
      <w:pPr>
        <w:pStyle w:val="SourceCode"/>
      </w:pPr>
      <w:r>
        <w:rPr>
          <w:rStyle w:val="VerbatimChar"/>
        </w:rPr>
        <w:t xml:space="preserve">Outcome: Weekly customer brief</w:t>
      </w:r>
      <w:r>
        <w:br/>
      </w:r>
      <w:r>
        <w:rPr>
          <w:rStyle w:val="VerbatimChar"/>
        </w:rPr>
        <w:t xml:space="preserve">Sources: Supplied notes, 5–9 October</w:t>
      </w:r>
      <w:r>
        <w:br/>
      </w:r>
      <w:r>
        <w:rPr>
          <w:rStyle w:val="VerbatimChar"/>
        </w:rPr>
        <w:t xml:space="preserve">Owner: Riley</w:t>
      </w:r>
      <w:r>
        <w:br/>
      </w:r>
      <w:r>
        <w:rPr>
          <w:rStyle w:val="VerbatimChar"/>
        </w:rPr>
        <w:t xml:space="preserve">Review: Morgan, where this workflow requires it</w:t>
      </w:r>
      <w:r>
        <w:br/>
      </w:r>
      <w:r>
        <w:rPr>
          <w:rStyle w:val="VerbatimChar"/>
        </w:rPr>
        <w:t xml:space="preserve">Open questions: List missing information explicitly</w:t>
      </w:r>
    </w:p>
    <w:p>
      <w:pPr>
        <w:pStyle w:val="FirstParagraph"/>
      </w:pPr>
      <w:r>
        <w:t xml:space="preserve">A visible activity trail records observable actions. It is not a claim to expose private model reasoning. Use clear labels such as</w:t>
      </w:r>
      <w:r>
        <w:t xml:space="preserve"> </w:t>
      </w:r>
      <w:r>
        <w:rPr>
          <w:b/>
          <w:bCs/>
        </w:rPr>
        <w:t xml:space="preserve">Draft</w:t>
      </w:r>
      <w:r>
        <w:t xml:space="preserve">,</w:t>
      </w:r>
      <w:r>
        <w:t xml:space="preserve"> </w:t>
      </w:r>
      <w:r>
        <w:rPr>
          <w:b/>
          <w:bCs/>
        </w:rPr>
        <w:t xml:space="preserve">Needs review</w:t>
      </w:r>
      <w:r>
        <w:t xml:space="preserve">, and</w:t>
      </w:r>
      <w:r>
        <w:t xml:space="preserve"> </w:t>
      </w:r>
      <w:r>
        <w:rPr>
          <w:b/>
          <w:bCs/>
        </w:rPr>
        <w:t xml:space="preserve">Complete</w:t>
      </w:r>
      <w:r>
        <w:t xml:space="preserve"> </w:t>
      </w:r>
      <w:r>
        <w:t xml:space="preserve">rather than a color alone.</w:t>
      </w:r>
      <w:r>
        <w:rPr>
          <w:rStyle w:val="FootnoteReference"/>
        </w:rPr>
        <w:footnoteReference w:id="921"/>
      </w:r>
    </w:p>
    <w:bookmarkEnd w:id="922"/>
    <w:bookmarkEnd w:id="923"/>
    <w:bookmarkStart w:id="925" w:name="put-the-result-to-work"/>
    <w:p>
      <w:pPr>
        <w:pStyle w:val="Heading1"/>
      </w:pPr>
      <w:r>
        <w:t xml:space="preserve">Put the result to work</w:t>
      </w:r>
    </w:p>
    <w:p>
      <w:pPr>
        <w:pStyle w:val="FirstParagraph"/>
      </w:pPr>
      <w:r>
        <w:t xml:space="preserve">A useful brief should make the next decision easier. It can contain a summary, supporting sources, and a short list of actions the team may consider.</w:t>
      </w:r>
    </w:p>
    <w:p>
      <w:pPr>
        <w:pStyle w:val="BodyText"/>
      </w:pPr>
      <w:r>
        <w:rPr>
          <w:b/>
          <w:bCs/>
        </w:rPr>
        <w:t xml:space="preserve">Example decision:</w:t>
      </w:r>
      <w:r>
        <w:t xml:space="preserve"> </w:t>
      </w:r>
      <w:r>
        <w:t xml:space="preserve">Morgan requests a source for one theme before the team uses the brief. The agent updates the draft and identifies the remaining open question.</w:t>
      </w:r>
    </w:p>
    <w:p>
      <w:pPr>
        <w:pStyle w:val="BodyText"/>
      </w:pPr>
      <w:r>
        <w:t xml:space="preserve">For product information, see</w:t>
      </w:r>
      <w:r>
        <w:t xml:space="preserve"> </w:t>
      </w:r>
      <w:hyperlink r:id="rId924">
        <w:r>
          <w:rPr>
            <w:rStyle w:val="Hyperlink"/>
          </w:rPr>
          <w:t xml:space="preserve">Teamwright</w:t>
        </w:r>
      </w:hyperlink>
      <w:r>
        <w:t xml:space="preserve">. This sample is an example of document styling and should not be published as a customer story.</w:t>
      </w:r>
    </w:p>
    <w:bookmarkEnd w:id="925"/>
    <w:sectPr>
      <w:headerReference r:id="rId902" w:type="default"/>
      <w:headerReference r:id="rId901" w:type="first"/>
      <w:footerReference r:id="rId903" w:type="default"/>
      <w:footerReference r:id="rId903" w:type="first"/>
      <w:pgSz w:h="16838" w:w="11906"/>
      <w:pgMar w:bottom="1440" w:footer="600" w:gutter="0" w:header="600" w:left="1440" w:right="1440" w:top="144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Normal"/>
      <w:pBdr>
        <w:top w:val="single" w:sz="6" w:space="6" w:color="DDD5C4"/>
      </w:pBdr>
      <w:tabs>
        <w:tab w:val="right" w:pos="9360"/>
      </w:tabs>
      <w:spacing w:after="0" w:line="240" w:lineRule="auto"/>
    </w:pPr>
    <w:r>
      <w:rPr>
        <w:rFonts w:ascii="Inter" w:hAnsi="Inter" w:cs="Inter" w:eastAsia="Inter"/>
        <w:color w:val="5B645F"/>
        <w:sz w:val="16"/>
        <w:szCs w:val="16"/>
      </w:rPr>
      <w:t xml:space="preserve">Teamwright</w:t>
    </w:r>
    <w:r>
      <w:tab/>
    </w:r>
    <w:r>
      <w:rPr>
        <w:rFonts w:ascii="JetBrains Mono" w:hAnsi="JetBrains Mono" w:cs="JetBrains Mono" w:eastAsia="JetBrains Mono"/>
        <w:b/>
        <w:bCs/>
        <w:color w:val="1C2220"/>
        <w:sz w:val="16"/>
        <w:szCs w:val="16"/>
      </w:rPr>
      <w:t xml:space="preserve">TWR</w:t>
    </w:r>
    <w:r>
      <w:rPr>
        <w:rFonts w:ascii="JetBrains Mono" w:hAnsi="JetBrains Mono" w:cs="JetBrains Mono" w:eastAsia="JetBrains Mono"/>
        <w:b/>
        <w:bCs/>
        <w:color w:val="D9622B"/>
        <w:sz w:val="16"/>
        <w:szCs w:val="16"/>
      </w:rPr>
      <w:t xml:space="preserve">.</w:t>
    </w:r>
    <w:r>
      <w:rPr>
        <w:rFonts w:ascii="Inter" w:hAnsi="Inter" w:cs="Inter" w:eastAsia="Inter"/>
        <w:color w:val="5B645F"/>
        <w:sz w:val="16"/>
        <w:szCs w:val="16"/>
      </w:rPr>
      <w:t xml:space="preserve">   Page </w:t>
    </w:r>
    <w:r>
      <w:rPr>
        <w:rFonts w:ascii="Inter" w:hAnsi="Inter" w:cs="Inter" w:eastAsia="Inter"/>
        <w:color w:val="5B645F"/>
        <w:sz w:val="16"/>
        <w:szCs w:val="16"/>
      </w:rPr>
      <w:fldChar w:fldCharType="begin"/>
    </w:r>
    <w:r>
      <w:rPr>
        <w:rFonts w:ascii="Inter" w:hAnsi="Inter" w:cs="Inter" w:eastAsia="Inter"/>
        <w:color w:val="5B645F"/>
        <w:sz w:val="16"/>
        <w:szCs w:val="16"/>
      </w:rPr>
      <w:instrText xml:space="preserve"> PAGE </w:instrText>
    </w:r>
    <w:r>
      <w:rPr>
        <w:rFonts w:ascii="Inter" w:hAnsi="Inter" w:cs="Inter" w:eastAsia="Inter"/>
        <w:color w:val="5B645F"/>
        <w:sz w:val="16"/>
        <w:szCs w:val="16"/>
      </w:rPr>
      <w:fldChar w:fldCharType="separate"/>
    </w:r>
    <w:r>
      <w:rPr>
        <w:rFonts w:ascii="Inter" w:hAnsi="Inter" w:cs="Inter" w:eastAsia="Inter"/>
        <w:color w:val="5B645F"/>
        <w:sz w:val="16"/>
        <w:szCs w:val="16"/>
      </w:rPr>
      <w:t>1</w:t>
    </w:r>
    <w:r>
      <w:rPr>
        <w:rFonts w:ascii="Inter" w:hAnsi="Inter" w:cs="Inter" w:eastAsia="Inter"/>
        <w:color w:val="5B645F"/>
        <w:sz w:val="16"/>
        <w:szCs w:val="16"/>
      </w:rPr>
      <w:fldChar w:fldCharType="end"/>
    </w:r>
    <w:r>
      <w:rPr>
        <w:rFonts w:ascii="Inter" w:hAnsi="Inter" w:cs="Inter" w:eastAsia="Inter"/>
        <w:color w:val="5B645F"/>
        <w:sz w:val="16"/>
        <w:szCs w:val="16"/>
      </w:rPr>
      <w:t xml:space="preserve"> of </w:t>
    </w:r>
    <w:r>
      <w:rPr>
        <w:rFonts w:ascii="Inter" w:hAnsi="Inter" w:cs="Inter" w:eastAsia="Inter"/>
        <w:color w:val="5B645F"/>
        <w:sz w:val="16"/>
        <w:szCs w:val="16"/>
      </w:rPr>
      <w:fldChar w:fldCharType="begin"/>
    </w:r>
    <w:r>
      <w:rPr>
        <w:rFonts w:ascii="Inter" w:hAnsi="Inter" w:cs="Inter" w:eastAsia="Inter"/>
        <w:color w:val="5B645F"/>
        <w:sz w:val="16"/>
        <w:szCs w:val="16"/>
      </w:rPr>
      <w:instrText xml:space="preserve"> NUMPAGES </w:instrText>
    </w:r>
    <w:r>
      <w:rPr>
        <w:rFonts w:ascii="Inter" w:hAnsi="Inter" w:cs="Inter" w:eastAsia="Inter"/>
        <w:color w:val="5B645F"/>
        <w:sz w:val="16"/>
        <w:szCs w:val="16"/>
      </w:rPr>
      <w:fldChar w:fldCharType="separate"/>
    </w:r>
    <w:r>
      <w:rPr>
        <w:rFonts w:ascii="Inter" w:hAnsi="Inter" w:cs="Inter" w:eastAsia="Inter"/>
        <w:color w:val="5B645F"/>
        <w:sz w:val="16"/>
        <w:szCs w:val="16"/>
      </w:rPr>
      <w:t>1</w:t>
    </w:r>
    <w:r>
      <w:rPr>
        <w:rFonts w:ascii="Inter" w:hAnsi="Inter" w:cs="Inter" w:eastAsia="Inter"/>
        <w:color w:val="5B645F"/>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21">
    <w:p>
      <w:pPr>
        <w:pStyle w:val="FootnoteText"/>
      </w:pPr>
      <w:r>
        <w:rPr>
          <w:rStyle w:val="FootnoteReference"/>
        </w:rPr>
        <w:footnoteRef/>
      </w:r>
      <w:r>
        <w:t xml:space="preserve"> </w:t>
      </w:r>
      <w:r>
        <w:t xml:space="preserve">Status labels shown here are design examples. Validate vocabulary and state transitions against the application before implementation.</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Normal"/>
      <w:pBdr>
        <w:bottom w:val="single" w:sz="12" w:space="6" w:color="1F5B4D"/>
      </w:pBdr>
      <w:tabs>
        <w:tab w:val="right" w:pos="9360"/>
      </w:tabs>
      <w:spacing w:after="0" w:line="240" w:lineRule="auto"/>
    </w:pPr>
    <w:r>
      <w:drawing>
        <wp:inline distT="0" distB="0" distL="0" distR="0">
          <wp:extent cx="323850" cy="323850"/>
          <wp:docPr id="11" name="Teamwright logo" descr="Teamwright symbol"/>
          <a:graphic>
            <a:graphicData uri="http://schemas.openxmlformats.org/drawingml/2006/picture">
              <pic:pic>
                <pic:nvPicPr>
                  <pic:cNvPr id="11" name="logo.png" descr="Teamwright symbol"/>
                  <pic:cNvPicPr/>
                </pic:nvPicPr>
                <pic:blipFill>
                  <a:blip r:embed="rId1"/>
                  <a:stretch>
                    <a:fillRect/>
                  </a:stretch>
                </pic:blipFill>
                <pic:spPr>
                  <a:xfrm>
                    <a:off x="0" y="0"/>
                    <a:ext cx="323850" cy="323850"/>
                  </a:xfrm>
                  <a:prstGeom prst="rect">
                    <a:avLst/>
                  </a:prstGeom>
                </pic:spPr>
              </pic:pic>
            </a:graphicData>
          </a:graphic>
        </wp:inline>
      </w:drawing>
    </w:r>
    <w:r>
      <w:rPr>
        <w:rFonts w:ascii="Fraunces 72pt" w:hAnsi="Fraunces 72pt" w:cs="Fraunces 72pt" w:eastAsia="Fraunces 72pt"/>
        <w:b/>
        <w:bCs/>
        <w:color w:val="1C2220"/>
        <w:spacing w:val="-10"/>
        <w:sz w:val="40"/>
        <w:szCs w:val="40"/>
      </w:rPr>
      <w:t xml:space="preserve">  Teamwright</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Normal"/>
      <w:pBdr>
        <w:bottom w:val="single" w:sz="6" w:space="6" w:color="DDD5C4"/>
      </w:pBdr>
      <w:tabs>
        <w:tab w:val="right" w:pos="9360"/>
      </w:tabs>
      <w:spacing w:after="0" w:line="240" w:lineRule="auto"/>
    </w:pPr>
    <w:r>
      <w:drawing>
        <wp:inline distT="0" distB="0" distL="0" distR="0">
          <wp:extent cx="190500" cy="190500"/>
          <wp:docPr id="12" name="Teamwright logo" descr="Teamwright symbol"/>
          <a:graphic>
            <a:graphicData uri="http://schemas.openxmlformats.org/drawingml/2006/picture">
              <pic:pic>
                <pic:nvPicPr>
                  <pic:cNvPr id="12" name="logo.png" descr="Teamwright symbol"/>
                  <pic:cNvPicPr/>
                </pic:nvPicPr>
                <pic:blipFill>
                  <a:blip r:embed="rId1"/>
                  <a:stretch>
                    <a:fillRect/>
                  </a:stretch>
                </pic:blipFill>
                <pic:spPr>
                  <a:xfrm>
                    <a:off x="0" y="0"/>
                    <a:ext cx="190500" cy="190500"/>
                  </a:xfrm>
                  <a:prstGeom prst="rect">
                    <a:avLst/>
                  </a:prstGeom>
                </pic:spPr>
              </pic:pic>
            </a:graphicData>
          </a:graphic>
        </wp:inline>
      </w:drawing>
    </w:r>
    <w:r>
      <w:rPr>
        <w:rFonts w:ascii="Fraunces 72pt" w:hAnsi="Fraunces 72pt" w:cs="Fraunces 72pt" w:eastAsia="Fraunces 72pt"/>
        <w:b/>
        <w:bCs/>
        <w:color w:val="1C2220"/>
        <w:sz w:val="22"/>
        <w:szCs w:val="22"/>
      </w:rPr>
      <w:t xml:space="preserve">  Teamwright</w:t>
    </w:r>
    <w:r>
      <w:tab/>
    </w:r>
    <w:r>
      <w:rPr>
        <w:rFonts w:ascii="JetBrains Mono" w:hAnsi="JetBrains Mono" w:cs="JetBrains Mono" w:eastAsia="JetBrains Mono"/>
        <w:color w:val="5B645F"/>
        <w:sz w:val="15"/>
        <w:szCs w:val="15"/>
      </w:rPr>
      <w:fldChar w:fldCharType="begin"/>
    </w:r>
    <w:r>
      <w:rPr>
        <w:rFonts w:ascii="JetBrains Mono" w:hAnsi="JetBrains Mono" w:cs="JetBrains Mono" w:eastAsia="JetBrains Mono"/>
        <w:color w:val="5B645F"/>
        <w:sz w:val="15"/>
        <w:szCs w:val="15"/>
      </w:rPr>
      <w:instrText xml:space="preserve"> TITLE </w:instrText>
    </w:r>
    <w:r>
      <w:rPr>
        <w:rFonts w:ascii="JetBrains Mono" w:hAnsi="JetBrains Mono" w:cs="JetBrains Mono" w:eastAsia="JetBrains Mono"/>
        <w:color w:val="5B645F"/>
        <w:sz w:val="15"/>
        <w:szCs w:val="15"/>
      </w:rPr>
      <w:fldChar w:fldCharType="separate"/>
    </w:r>
    <w:r>
      <w:rPr>
        <w:rFonts w:ascii="JetBrains Mono" w:hAnsi="JetBrains Mono" w:cs="JetBrains Mono" w:eastAsia="JetBrains Mono"/>
        <w:color w:val="5B645F"/>
        <w:sz w:val="15"/>
        <w:szCs w:val="15"/>
      </w:rPr>
      <w:t>Document title</w:t>
    </w:r>
    <w:r>
      <w:rPr>
        <w:rFonts w:ascii="JetBrains Mono" w:hAnsi="JetBrains Mono" w:cs="JetBrains Mono" w:eastAsia="JetBrains Mono"/>
        <w:color w:val="5B645F"/>
        <w:sz w:val="15"/>
        <w:szCs w:val="15"/>
      </w:rPr>
      <w:fldChar w:fldCharType="end"/>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Inter" w:cs="Inter" w:eastAsia="Inter" w:hAnsi="Inter"/>
        <w:sz w:val="22"/>
        <w:szCs w:val="22"/>
        <w:lang w:bidi="ar-SA" w:eastAsia="en-US" w:val="en-US"/>
      </w:rPr>
    </w:rPrDefault>
    <w:pPrDefault>
      <w:pPr>
        <w:spacing w:after="140" w:line="300" w:lineRule="auto"/>
      </w:pPr>
    </w:pPrDefault>
  </w:docDefaults>
  <w:latentStyles w:count="276" w:defLockedState="0" w:defQFormat="0" w:defSemiHidden="0" w:defUIPriority="0" w:defUnhideWhenUsed="0"/>
  <w:style w:default="1" w:styleId="DefaultParagraphFont" w:type="character">
    <w:name w:val="Default Paragraph Font"/>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rmal" w:type="paragraph">
    <w:name w:val="Normal"/>
    <w:qFormat/>
    <w:pPr/>
    <w:rPr>
      <w:rFonts w:ascii="Inter" w:cs="Inter" w:eastAsia="Inter" w:hAnsi="Inter"/>
      <w:color w:val="1C2220"/>
      <w:sz w:val="22"/>
      <w:szCs w:val="22"/>
    </w:rPr>
  </w:style>
  <w:style w:styleId="BodyText" w:type="paragraph">
    <w:name w:val="Body Text"/>
    <w:basedOn w:val="Normal"/>
    <w:next w:val="BodyText"/>
    <w:link w:val="BodyTextChar"/>
    <w:qFormat/>
    <w:pPr>
      <w:spacing w:after="140" w:before="0" w:line="300" w:lineRule="auto"/>
    </w:pPr>
  </w:style>
  <w:style w:customStyle="1" w:styleId="FirstParagraph" w:type="paragraph">
    <w:name w:val="First Paragraph"/>
    <w:basedOn w:val="BodyText"/>
    <w:next w:val="BodyText"/>
    <w:qFormat/>
    <w:pPr/>
  </w:style>
  <w:style w:customStyle="1" w:styleId="Compact" w:type="paragraph">
    <w:name w:val="Compact"/>
    <w:basedOn w:val="BodyText"/>
    <w:qFormat/>
    <w:pPr>
      <w:spacing w:after="40" w:before="40" w:line="276" w:lineRule="auto"/>
    </w:pPr>
  </w:style>
  <w:style w:styleId="Title" w:type="paragraph">
    <w:name w:val="Title"/>
    <w:basedOn w:val="Normal"/>
    <w:next w:val="BodyText"/>
    <w:qFormat/>
    <w:pPr>
      <w:keepNext/>
      <w:keepLines/>
      <w:spacing w:after="120" w:before="0" w:line="240" w:lineRule="auto"/>
      <w:jc w:val="left"/>
    </w:pPr>
    <w:rPr>
      <w:rFonts w:ascii="Fraunces 72pt" w:cs="Fraunces 72pt" w:eastAsia="Fraunces 72pt" w:hAnsi="Fraunces 72pt"/>
      <w:b/>
      <w:bCs/>
      <w:color w:val="1C2220"/>
      <w:spacing w:val="-20"/>
      <w:sz w:val="64"/>
      <w:szCs w:val="64"/>
    </w:rPr>
  </w:style>
  <w:style w:styleId="Subtitle" w:type="paragraph">
    <w:name w:val="Subtitle"/>
    <w:basedOn w:val="Normal"/>
    <w:next w:val="BodyText"/>
    <w:qFormat/>
    <w:pPr>
      <w:keepNext/>
      <w:keepLines/>
      <w:spacing w:after="200" w:before="0"/>
      <w:jc w:val="left"/>
    </w:pPr>
    <w:rPr>
      <w:rFonts w:ascii="Inter" w:cs="Inter" w:eastAsia="Inter" w:hAnsi="Inter"/>
      <w:color w:val="5B645F"/>
      <w:sz w:val="28"/>
      <w:szCs w:val="28"/>
    </w:rPr>
  </w:style>
  <w:style w:customStyle="1" w:styleId="Author" w:type="paragraph">
    <w:name w:val="Author"/>
    <w:basedOn w:val="Normal"/>
    <w:next w:val="BodyText"/>
    <w:qFormat/>
    <w:pPr>
      <w:keepNext/>
      <w:keepLines/>
      <w:spacing w:after="40" w:before="0"/>
      <w:jc w:val="left"/>
    </w:pPr>
    <w:rPr>
      <w:rFonts w:ascii="Inter" w:cs="Inter" w:eastAsia="Inter" w:hAnsi="Inter"/>
      <w:b/>
      <w:bCs/>
      <w:color w:val="1C2220"/>
      <w:sz w:val="22"/>
      <w:szCs w:val="22"/>
    </w:rPr>
  </w:style>
  <w:style w:customStyle="1" w:styleId="Date" w:type="paragraph">
    <w:name w:val="Date"/>
    <w:basedOn w:val="Normal"/>
    <w:next w:val="BodyText"/>
    <w:qFormat/>
    <w:pPr>
      <w:keepNext/>
      <w:keepLines/>
      <w:spacing w:after="320" w:before="0"/>
      <w:jc w:val="left"/>
    </w:pPr>
    <w:rPr>
      <w:rFonts w:ascii="JetBrains Mono" w:cs="JetBrains Mono" w:eastAsia="JetBrains Mono" w:hAnsi="JetBrains Mono"/>
      <w:color w:val="5B645F"/>
      <w:sz w:val="18"/>
      <w:szCs w:val="18"/>
    </w:rPr>
  </w:style>
  <w:style w:customStyle="1" w:styleId="AbstractTitle" w:type="paragraph">
    <w:name w:val="Abstract Title"/>
    <w:basedOn w:val="Normal"/>
    <w:next w:val="Abstract"/>
    <w:qFormat/>
    <w:pPr>
      <w:keepNext/>
      <w:spacing w:after="60" w:before="240"/>
    </w:pPr>
    <w:rPr>
      <w:rFonts w:ascii="JetBrains Mono" w:cs="JetBrains Mono" w:eastAsia="JetBrains Mono" w:hAnsi="JetBrains Mono"/>
      <w:b/>
      <w:bCs/>
      <w:caps/>
      <w:color w:val="1F5B4D"/>
      <w:spacing w:val="24"/>
      <w:sz w:val="16"/>
      <w:szCs w:val="16"/>
    </w:rPr>
  </w:style>
  <w:style w:customStyle="1" w:styleId="Abstract" w:type="paragraph">
    <w:name w:val="Abstract"/>
    <w:basedOn w:val="Normal"/>
    <w:next w:val="BodyText"/>
    <w:qFormat/>
    <w:pPr>
      <w:pBdr>
        <w:left w:color="D9622B" w:space="12" w:sz="18" w:val="single"/>
      </w:pBdr>
      <w:ind w:left="240"/>
      <w:spacing w:after="240" w:before="0" w:line="300" w:lineRule="auto"/>
    </w:pPr>
    <w:rPr>
      <w:rFonts w:ascii="Inter" w:cs="Inter" w:eastAsia="Inter" w:hAnsi="Inter"/>
      <w:color w:val="1C2220"/>
      <w:sz w:val="22"/>
      <w:szCs w:val="22"/>
    </w:rPr>
  </w:style>
  <w:style w:customStyle="1" w:styleId="Bibliography" w:type="paragraph">
    <w:name w:val="Bibliography"/>
    <w:basedOn w:val="Normal"/>
    <w:qFormat/>
    <w:pPr>
      <w:ind w:hanging="360" w:left="360"/>
      <w:spacing w:after="100" w:before="0"/>
    </w:pPr>
    <w:rPr>
      <w:rFonts w:ascii="Inter" w:cs="Inter" w:eastAsia="Inter" w:hAnsi="Inter"/>
      <w:color w:val="1C2220"/>
      <w:sz w:val="20"/>
      <w:szCs w:val="20"/>
    </w:rPr>
  </w:style>
  <w:style w:styleId="Heading1" w:type="paragraph">
    <w:name w:val="heading 1"/>
    <w:basedOn w:val="Normal"/>
    <w:next w:val="BodyText"/>
    <w:qFormat/>
    <w:pPr>
      <w:keepNext/>
      <w:keepLines/>
      <w:spacing w:after="120" w:before="360" w:line="240" w:lineRule="auto"/>
      <w:outlineLvl w:val="0"/>
    </w:pPr>
    <w:rPr>
      <w:rFonts w:ascii="Fraunces 72pt" w:cs="Fraunces 72pt" w:eastAsia="Fraunces 72pt" w:hAnsi="Fraunces 72pt"/>
      <w:b/>
      <w:bCs/>
      <w:color w:val="1F5B4D"/>
      <w:spacing w:val="-10"/>
      <w:sz w:val="36"/>
      <w:szCs w:val="36"/>
    </w:rPr>
  </w:style>
  <w:style w:styleId="Heading2" w:type="paragraph">
    <w:name w:val="heading 2"/>
    <w:basedOn w:val="Normal"/>
    <w:next w:val="BodyText"/>
    <w:qFormat/>
    <w:pPr>
      <w:keepNext/>
      <w:keepLines/>
      <w:spacing w:after="100" w:before="300" w:line="240" w:lineRule="auto"/>
      <w:outlineLvl w:val="1"/>
    </w:pPr>
    <w:rPr>
      <w:rFonts w:ascii="Fraunces 72pt" w:cs="Fraunces 72pt" w:eastAsia="Fraunces 72pt" w:hAnsi="Fraunces 72pt"/>
      <w:b/>
      <w:bCs/>
      <w:color w:val="1C2220"/>
      <w:spacing w:val="-10"/>
      <w:sz w:val="28"/>
      <w:szCs w:val="28"/>
    </w:rPr>
  </w:style>
  <w:style w:styleId="Heading3" w:type="paragraph">
    <w:name w:val="heading 3"/>
    <w:basedOn w:val="Normal"/>
    <w:next w:val="BodyText"/>
    <w:qFormat/>
    <w:pPr>
      <w:keepNext/>
      <w:keepLines/>
      <w:spacing w:after="80" w:before="260" w:line="240" w:lineRule="auto"/>
      <w:outlineLvl w:val="2"/>
    </w:pPr>
    <w:rPr>
      <w:rFonts w:ascii="Inter" w:cs="Inter" w:eastAsia="Inter" w:hAnsi="Inter"/>
      <w:b/>
      <w:bCs/>
      <w:color w:val="1F5B4D"/>
      <w:sz w:val="22"/>
      <w:szCs w:val="22"/>
    </w:rPr>
  </w:style>
  <w:style w:styleId="Heading4" w:type="paragraph">
    <w:name w:val="heading 4"/>
    <w:basedOn w:val="Normal"/>
    <w:next w:val="BodyText"/>
    <w:qFormat/>
    <w:pPr>
      <w:keepNext/>
      <w:keepLines/>
      <w:spacing w:after="60" w:before="220"/>
      <w:outlineLvl w:val="3"/>
    </w:pPr>
    <w:rPr>
      <w:rFonts w:ascii="Inter" w:cs="Inter" w:eastAsia="Inter" w:hAnsi="Inter"/>
      <w:b/>
      <w:bCs/>
      <w:color w:val="1C2220"/>
      <w:sz w:val="22"/>
      <w:szCs w:val="22"/>
    </w:rPr>
  </w:style>
  <w:style w:styleId="Heading5" w:type="paragraph">
    <w:name w:val="heading 5"/>
    <w:basedOn w:val="Normal"/>
    <w:next w:val="BodyText"/>
    <w:qFormat/>
    <w:pPr>
      <w:keepNext/>
      <w:keepLines/>
      <w:spacing w:after="60" w:before="200"/>
      <w:outlineLvl w:val="4"/>
    </w:pPr>
    <w:rPr>
      <w:rFonts w:ascii="Inter" w:cs="Inter" w:eastAsia="Inter" w:hAnsi="Inter"/>
      <w:b/>
      <w:bCs/>
      <w:color w:val="5B645F"/>
      <w:sz w:val="21"/>
      <w:szCs w:val="21"/>
    </w:rPr>
  </w:style>
  <w:style w:styleId="Heading6" w:type="paragraph">
    <w:name w:val="heading 6"/>
    <w:basedOn w:val="Normal"/>
    <w:next w:val="BodyText"/>
    <w:qFormat/>
    <w:pPr>
      <w:keepNext/>
      <w:keepLines/>
      <w:spacing w:after="60" w:before="200"/>
      <w:outlineLvl w:val="5"/>
    </w:pPr>
    <w:rPr>
      <w:rFonts w:ascii="Inter" w:cs="Inter" w:eastAsia="Inter" w:hAnsi="Inter"/>
      <w:b/>
      <w:bCs/>
      <w:i/>
      <w:iCs/>
      <w:color w:val="5B645F"/>
      <w:sz w:val="20"/>
      <w:szCs w:val="20"/>
    </w:rPr>
  </w:style>
  <w:style w:styleId="Heading7" w:type="paragraph">
    <w:name w:val="heading 7"/>
    <w:basedOn w:val="Normal"/>
    <w:next w:val="BodyText"/>
    <w:qFormat/>
    <w:pPr>
      <w:keepNext/>
      <w:keepLines/>
      <w:spacing w:after="60" w:before="200"/>
      <w:outlineLvl w:val="6"/>
    </w:pPr>
    <w:rPr>
      <w:rFonts w:ascii="Inter" w:cs="Inter" w:eastAsia="Inter" w:hAnsi="Inter"/>
      <w:i/>
      <w:iCs/>
      <w:color w:val="5B645F"/>
      <w:sz w:val="20"/>
      <w:szCs w:val="20"/>
    </w:rPr>
  </w:style>
  <w:style w:styleId="Heading8" w:type="paragraph">
    <w:name w:val="heading 8"/>
    <w:basedOn w:val="Normal"/>
    <w:next w:val="BodyText"/>
    <w:qFormat/>
    <w:pPr>
      <w:keepNext/>
      <w:keepLines/>
      <w:spacing w:after="60" w:before="200"/>
      <w:outlineLvl w:val="7"/>
    </w:pPr>
    <w:rPr>
      <w:rFonts w:ascii="Inter" w:cs="Inter" w:eastAsia="Inter" w:hAnsi="Inter"/>
      <w:i/>
      <w:iCs/>
      <w:color w:val="5B645F"/>
      <w:sz w:val="20"/>
      <w:szCs w:val="20"/>
    </w:rPr>
  </w:style>
  <w:style w:styleId="Heading9" w:type="paragraph">
    <w:name w:val="heading 9"/>
    <w:basedOn w:val="Normal"/>
    <w:next w:val="BodyText"/>
    <w:qFormat/>
    <w:pPr>
      <w:keepNext/>
      <w:keepLines/>
      <w:spacing w:after="60" w:before="200"/>
      <w:outlineLvl w:val="8"/>
    </w:pPr>
    <w:rPr>
      <w:rFonts w:ascii="Inter" w:cs="Inter" w:eastAsia="Inter" w:hAnsi="Inter"/>
      <w:i/>
      <w:iCs/>
      <w:color w:val="5B645F"/>
      <w:sz w:val="20"/>
      <w:szCs w:val="20"/>
    </w:rPr>
  </w:style>
  <w:style w:styleId="BlockText" w:type="paragraph">
    <w:name w:val="Block Text"/>
    <w:basedOn w:val="BodyText"/>
    <w:next w:val="BodyText"/>
    <w:qFormat/>
    <w:pPr>
      <w:pBdr>
        <w:left w:color="D9622B" w:space="12" w:sz="18" w:val="single"/>
      </w:pBdr>
      <w:ind w:left="300"/>
      <w:spacing w:after="120" w:before="120" w:line="300" w:lineRule="auto"/>
    </w:pPr>
    <w:rPr>
      <w:i/>
      <w:iCs/>
      <w:color w:val="1C2220"/>
    </w:rPr>
  </w:style>
  <w:style w:styleId="FootnoteText" w:type="paragraph">
    <w:name w:val="Footnote Text"/>
    <w:basedOn w:val="Normal"/>
    <w:link w:val="FootnoteTextChar"/>
    <w:qFormat/>
    <w:pPr>
      <w:spacing w:after="40" w:before="0"/>
    </w:pPr>
    <w:rPr>
      <w:rFonts w:ascii="Inter" w:cs="Inter" w:eastAsia="Inter" w:hAnsi="Inter"/>
      <w:color w:val="5B645F"/>
      <w:sz w:val="18"/>
      <w:szCs w:val="18"/>
    </w:rPr>
  </w:style>
  <w:style w:customStyle="1" w:styleId="DefinitionTerm" w:type="paragraph">
    <w:name w:val="Definition Term"/>
    <w:basedOn w:val="Normal"/>
    <w:next w:val="Definition"/>
    <w:qFormat/>
    <w:pPr>
      <w:keepNext/>
      <w:keepLines/>
      <w:spacing w:after="0" w:before="120"/>
    </w:pPr>
    <w:rPr>
      <w:b/>
      <w:bCs/>
      <w:color w:val="1C2220"/>
    </w:rPr>
  </w:style>
  <w:style w:customStyle="1" w:styleId="Definition" w:type="paragraph">
    <w:name w:val="Definition"/>
    <w:basedOn w:val="Normal"/>
    <w:qFormat/>
    <w:pPr>
      <w:ind w:left="360"/>
      <w:spacing w:after="120" w:before="0"/>
    </w:pPr>
  </w:style>
  <w:style w:styleId="Caption" w:type="paragraph">
    <w:name w:val="Caption"/>
    <w:basedOn w:val="Normal"/>
    <w:qFormat/>
    <w:pPr>
      <w:spacing w:after="200" w:before="60"/>
    </w:pPr>
    <w:rPr>
      <w:rFonts w:ascii="JetBrains Mono" w:cs="JetBrains Mono" w:eastAsia="JetBrains Mono" w:hAnsi="JetBrains Mono"/>
      <w:color w:val="5B645F"/>
      <w:sz w:val="17"/>
      <w:szCs w:val="17"/>
    </w:rPr>
  </w:style>
  <w:style w:customStyle="1" w:styleId="TableCaption" w:type="paragraph">
    <w:name w:val="Table Caption"/>
    <w:basedOn w:val="Caption"/>
    <w:qFormat/>
    <w:pPr>
      <w:keepNext/>
      <w:keepLines/>
      <w:spacing w:after="60" w:before="120"/>
    </w:pPr>
    <w:rPr>
      <w:rFonts w:ascii="JetBrains Mono" w:cs="JetBrains Mono" w:eastAsia="JetBrains Mono" w:hAnsi="JetBrains Mono"/>
      <w:color w:val="5B645F"/>
      <w:sz w:val="17"/>
      <w:szCs w:val="17"/>
    </w:rPr>
  </w:style>
  <w:style w:customStyle="1" w:styleId="ImageCaption" w:type="paragraph">
    <w:name w:val="Image Caption"/>
    <w:basedOn w:val="Caption"/>
    <w:qFormat/>
    <w:pPr>
      <w:spacing w:after="200" w:before="60"/>
    </w:pPr>
    <w:rPr>
      <w:rFonts w:ascii="JetBrains Mono" w:cs="JetBrains Mono" w:eastAsia="JetBrains Mono" w:hAnsi="JetBrains Mono"/>
      <w:color w:val="5B645F"/>
      <w:sz w:val="17"/>
      <w:szCs w:val="17"/>
    </w:rPr>
  </w:style>
  <w:style w:customStyle="1" w:styleId="Figure" w:type="paragraph">
    <w:name w:val="Figure"/>
    <w:basedOn w:val="Normal"/>
    <w:qFormat/>
    <w:pPr>
      <w:keepNext/>
      <w:keepLines/>
      <w:spacing w:after="0" w:before="120"/>
    </w:pPr>
  </w:style>
  <w:style w:customStyle="1" w:styleId="CaptionedFigure" w:type="paragraph">
    <w:name w:val="Captioned Figure"/>
    <w:basedOn w:val="Figure"/>
    <w:qFormat/>
    <w:pPr>
      <w:keepNext/>
    </w:pPr>
  </w:style>
  <w:style w:styleId="TOCHeading" w:type="paragraph">
    <w:name w:val="TOC Heading"/>
    <w:basedOn w:val="Heading1"/>
    <w:next w:val="BodyText"/>
    <w:qFormat/>
    <w:pPr>
      <w:outlineLvl w:val="9"/>
    </w:pPr>
  </w:style>
  <w:style w:customStyle="1" w:styleId="Callout" w:type="paragraph">
    <w:name w:val="Callout"/>
    <w:basedOn w:val="BodyText"/>
    <w:next w:val="BodyText"/>
    <w:qFormat/>
    <w:pPr>
      <w:keepLines/>
      <w:pBdr>
        <w:left w:color="D9622B" w:space="10" w:sz="24" w:val="single"/>
      </w:pBdr>
      <w:shd w:color="auto" w:fill="EDE6D6" w:val="clear"/>
      <w:ind w:left="200" w:right="100"/>
      <w:spacing w:after="120" w:before="120" w:line="300" w:lineRule="auto"/>
    </w:pPr>
  </w:style>
  <w:style w:styleId="Label" w:type="character">
    <w:name w:val="Label"/>
    <w:basedOn w:val="DefaultParagraphFont"/>
    <w:qFormat/>
    <w:rPr>
      <w:rFonts w:ascii="JetBrains Mono" w:cs="JetBrains Mono" w:eastAsia="JetBrains Mono" w:hAnsi="JetBrains Mono"/>
      <w:b/>
      <w:bCs/>
      <w:caps/>
      <w:color w:val="1F5B4D"/>
      <w:spacing w:val="20"/>
      <w:sz w:val="16"/>
      <w:szCs w:val="16"/>
    </w:rPr>
  </w:style>
  <w:style w:customStyle="1" w:styleId="SourceCode" w:type="paragraph">
    <w:name w:val="Source Code"/>
    <w:basedOn w:val="Normal"/>
    <w:next w:val="SourceCode"/>
    <w:qFormat/>
    <w:pPr>
      <w:keepLines/>
      <w:pBdr>
        <w:left w:color="1F5B4D" w:space="8" w:sz="18" w:val="single"/>
      </w:pBdr>
      <w:shd w:color="auto" w:fill="EDE6D6" w:val="clear"/>
      <w:wordWrap w:val="0"/>
      <w:ind w:left="120" w:right="120"/>
      <w:spacing w:after="120" w:before="120" w:line="252" w:lineRule="auto"/>
    </w:pPr>
    <w:rPr>
      <w:rFonts w:ascii="JetBrains Mono" w:cs="JetBrains Mono" w:eastAsia="JetBrains Mono" w:hAnsi="JetBrains Mono"/>
      <w:color w:val="1C2220"/>
      <w:sz w:val="18"/>
      <w:szCs w:val="18"/>
    </w:rPr>
  </w:style>
  <w:style w:styleId="BodyTextChar" w:type="character">
    <w:name w:val="Body Text Char"/>
    <w:basedOn w:val="DefaultParagraphFont"/>
    <w:qFormat/>
    <w:rPr>
      <w:rFonts w:ascii="Inter" w:cs="Inter" w:eastAsia="Inter" w:hAnsi="Inter"/>
      <w:color w:val="1C2220"/>
      <w:sz w:val="22"/>
      <w:szCs w:val="22"/>
    </w:rPr>
  </w:style>
  <w:style w:styleId="FootnoteTextChar" w:type="character">
    <w:name w:val="Footnote Text Char"/>
    <w:basedOn w:val="DefaultParagraphFont"/>
    <w:qFormat/>
    <w:rPr>
      <w:rFonts w:ascii="Inter" w:cs="Inter" w:eastAsia="Inter" w:hAnsi="Inter"/>
      <w:color w:val="5B645F"/>
      <w:sz w:val="18"/>
      <w:szCs w:val="18"/>
    </w:rPr>
  </w:style>
  <w:style w:styleId="VerbatimChar" w:type="character">
    <w:name w:val="Verbatim Char"/>
    <w:basedOn w:val="DefaultParagraphFont"/>
    <w:qFormat/>
    <w:rPr>
      <w:rFonts w:ascii="JetBrains Mono" w:cs="JetBrains Mono" w:eastAsia="JetBrains Mono" w:hAnsi="JetBrains Mono"/>
      <w:color w:val="1C2220"/>
      <w:sz w:val="19"/>
      <w:szCs w:val="19"/>
      <w:shd w:color="auto" w:fill="EDE6D6" w:val="clear"/>
    </w:rPr>
  </w:style>
  <w:style w:styleId="SectionNumber" w:type="character">
    <w:name w:val="Section Number"/>
    <w:basedOn w:val="DefaultParagraphFont"/>
    <w:qFormat/>
    <w:rPr>
      <w:b/>
    </w:rPr>
  </w:style>
  <w:style w:styleId="FootnoteReference" w:type="character">
    <w:name w:val="Footnote Reference"/>
    <w:basedOn w:val="DefaultParagraphFont"/>
    <w:qFormat/>
    <w:rPr>
      <w:vertAlign w:val="superscript"/>
    </w:rPr>
  </w:style>
  <w:style w:styleId="Hyperlink" w:type="character">
    <w:name w:val="Hyperlink"/>
    <w:basedOn w:val="DefaultParagraphFont"/>
    <w:qFormat/>
    <w:rPr>
      <w:color w:val="1F5B4D"/>
      <w:u w:val="single"/>
    </w:rPr>
  </w:style>
  <w:style w:styleId="KeywordTok" w:type="character">
    <w:name w:val="KeywordTok"/>
    <w:basedOn w:val="VerbatimChar"/>
    <w:qFormat/>
    <w:rPr>
      <w:b/>
      <w:bCs/>
      <w:color w:val="1F5B4D"/>
    </w:rPr>
  </w:style>
  <w:style w:styleId="ControlFlowTok" w:type="character">
    <w:name w:val="ControlFlowTok"/>
    <w:basedOn w:val="VerbatimChar"/>
    <w:qFormat/>
    <w:rPr>
      <w:b/>
      <w:bCs/>
      <w:color w:val="1F5B4D"/>
    </w:rPr>
  </w:style>
  <w:style w:styleId="DataTypeTok" w:type="character">
    <w:name w:val="DataTypeTok"/>
    <w:basedOn w:val="VerbatimChar"/>
    <w:qFormat/>
    <w:rPr>
      <w:color w:val="1F5B4D"/>
    </w:rPr>
  </w:style>
  <w:style w:styleId="StringTok" w:type="character">
    <w:name w:val="StringTok"/>
    <w:basedOn w:val="VerbatimChar"/>
    <w:qFormat/>
    <w:rPr>
      <w:color w:val="1F5B4D"/>
    </w:rPr>
  </w:style>
  <w:style w:styleId="CharTok" w:type="character">
    <w:name w:val="CharTok"/>
    <w:basedOn w:val="VerbatimChar"/>
    <w:qFormat/>
    <w:rPr>
      <w:color w:val="1F5B4D"/>
    </w:rPr>
  </w:style>
  <w:style w:styleId="SpecialStringTok" w:type="character">
    <w:name w:val="SpecialStringTok"/>
    <w:basedOn w:val="VerbatimChar"/>
    <w:qFormat/>
    <w:rPr>
      <w:color w:val="1F5B4D"/>
    </w:rPr>
  </w:style>
  <w:style w:styleId="VerbatimStringTok" w:type="character">
    <w:name w:val="VerbatimStringTok"/>
    <w:basedOn w:val="VerbatimChar"/>
    <w:qFormat/>
    <w:rPr>
      <w:color w:val="1F5B4D"/>
    </w:rPr>
  </w:style>
  <w:style w:styleId="CommentTok" w:type="character">
    <w:name w:val="CommentTok"/>
    <w:basedOn w:val="VerbatimChar"/>
    <w:qFormat/>
    <w:rPr>
      <w:i/>
      <w:iCs/>
      <w:color w:val="5B645F"/>
    </w:rPr>
  </w:style>
  <w:style w:styleId="DocumentationTok" w:type="character">
    <w:name w:val="DocumentationTok"/>
    <w:basedOn w:val="VerbatimChar"/>
    <w:qFormat/>
    <w:rPr>
      <w:i/>
      <w:iCs/>
      <w:color w:val="5B645F"/>
    </w:rPr>
  </w:style>
  <w:style w:styleId="AnnotationTok" w:type="character">
    <w:name w:val="AnnotationTok"/>
    <w:basedOn w:val="VerbatimChar"/>
    <w:qFormat/>
    <w:rPr>
      <w:i/>
      <w:iCs/>
      <w:color w:val="5B645F"/>
    </w:rPr>
  </w:style>
  <w:style w:styleId="FunctionTok" w:type="character">
    <w:name w:val="FunctionTok"/>
    <w:basedOn w:val="VerbatimChar"/>
    <w:qFormat/>
    <w:rPr>
      <w:b/>
      <w:bCs/>
      <w:color w:val="1C2220"/>
    </w:rPr>
  </w:style>
  <w:style w:styleId="NumTok" w:type="character">
    <w:name w:val="NumTok"/>
    <w:basedOn w:val="VerbatimChar"/>
    <w:qFormat/>
    <w:rPr>
      <w:color w:val="8A4A12"/>
    </w:rPr>
  </w:style>
  <w:style w:styleId="DecValTok" w:type="character">
    <w:name w:val="DecValTok"/>
    <w:basedOn w:val="VerbatimChar"/>
    <w:qFormat/>
    <w:rPr>
      <w:color w:val="8A4A12"/>
    </w:rPr>
  </w:style>
  <w:style w:styleId="FloatTok" w:type="character">
    <w:name w:val="FloatTok"/>
    <w:basedOn w:val="VerbatimChar"/>
    <w:qFormat/>
    <w:rPr>
      <w:color w:val="8A4A12"/>
    </w:rPr>
  </w:style>
  <w:style w:styleId="BaseNTok" w:type="character">
    <w:name w:val="BaseNTok"/>
    <w:basedOn w:val="VerbatimChar"/>
    <w:qFormat/>
    <w:rPr>
      <w:color w:val="8A4A12"/>
    </w:rPr>
  </w:style>
  <w:style w:styleId="ConstantTok" w:type="character">
    <w:name w:val="ConstantTok"/>
    <w:basedOn w:val="VerbatimChar"/>
    <w:qFormat/>
    <w:rPr>
      <w:color w:val="8A4A12"/>
    </w:rPr>
  </w:style>
  <w:style w:styleId="AttributeTok" w:type="character">
    <w:name w:val="AttributeTok"/>
    <w:basedOn w:val="VerbatimChar"/>
    <w:qFormat/>
    <w:rPr>
      <w:color w:val="1F5B4D"/>
    </w:rPr>
  </w:style>
  <w:style w:styleId="VariableTok" w:type="character">
    <w:name w:val="VariableTok"/>
    <w:basedOn w:val="VerbatimChar"/>
    <w:qFormat/>
    <w:rPr>
      <w:color w:val="1C2220"/>
    </w:rPr>
  </w:style>
  <w:style w:styleId="OperatorTok" w:type="character">
    <w:name w:val="OperatorTok"/>
    <w:basedOn w:val="VerbatimChar"/>
    <w:qFormat/>
    <w:rPr>
      <w:color w:val="5B645F"/>
    </w:rPr>
  </w:style>
  <w:style w:styleId="BuiltInTok" w:type="character">
    <w:name w:val="BuiltInTok"/>
    <w:basedOn w:val="VerbatimChar"/>
    <w:qFormat/>
    <w:rPr>
      <w:color w:val="1F5B4D"/>
    </w:rPr>
  </w:style>
  <w:style w:styleId="ImportTok" w:type="character">
    <w:name w:val="ImportTok"/>
    <w:basedOn w:val="VerbatimChar"/>
    <w:qFormat/>
    <w:rPr>
      <w:color w:val="1F5B4D"/>
    </w:rPr>
  </w:style>
  <w:style w:styleId="ErrorTok" w:type="character">
    <w:name w:val="ErrorTok"/>
    <w:basedOn w:val="VerbatimChar"/>
    <w:qFormat/>
    <w:rPr>
      <w:b/>
      <w:bCs/>
      <w:color w:val="A63A2A"/>
    </w:rPr>
  </w:style>
  <w:style w:styleId="AlertTok" w:type="character">
    <w:name w:val="AlertTok"/>
    <w:basedOn w:val="VerbatimChar"/>
    <w:qFormat/>
    <w:rPr>
      <w:b/>
      <w:bCs/>
      <w:color w:val="A63A2A"/>
    </w:rPr>
  </w:style>
  <w:style w:styleId="WarningTok" w:type="character">
    <w:name w:val="WarningTok"/>
    <w:basedOn w:val="VerbatimChar"/>
    <w:qFormat/>
    <w:rPr>
      <w:i/>
      <w:iCs/>
      <w:color w:val="A63A2A"/>
    </w:rPr>
  </w:style>
  <w:style w:customStyle="1" w:styleId="Table" w:type="table">
    <w:name w:val="Table"/>
    <w:basedOn w:val="TableNormal"/>
    <w:qFormat/>
    <w:tblPr>
      <w:tblStyleRowBandSize w:val="1"/>
      <w:tblStyleColBandSize w:val="1"/>
      <w:tblBorders>
        <w:top w:color="DDD5C4" w:space="0" w:sz="6" w:val="single"/>
        <w:bottom w:color="DDD5C4" w:space="0" w:sz="6" w:val="single"/>
        <w:insideH w:color="DDD5C4" w:space="0" w:sz="4" w:val="single"/>
      </w:tblBorders>
      <w:tblCellMar>
        <w:top w:type="dxa" w:w="80"/>
        <w:left w:type="dxa" w:w="100"/>
        <w:bottom w:type="dxa" w:w="80"/>
        <w:right w:type="dxa" w:w="100"/>
      </w:tblCellMar>
    </w:tblPr>
    <w:tblStylePr w:type="firstRow">
      <w:rPr>
        <w:rFonts w:ascii="JetBrains Mono" w:hAnsi="JetBrains Mono"/>
        <w:b/>
        <w:caps/>
        <w:color w:val="1F5B4D"/>
        <w:sz w:val="17"/>
      </w:rPr>
      <w:tcPr>
        <w:tcBorders>
          <w:bottom w:color="1F5B4D" w:space="0" w:sz="12" w:val="single"/>
        </w:tcBorders>
      </w:tcPr>
    </w:tblStylePr>
  </w:style>
  <w:style w:type="character" w:customStyle="1" w:styleId="SpecialCharTok">
    <w:name w:val="SpecialCharTok"/>
    <w:basedOn w:val="VerbatimChar"/>
    <w:rPr>
      <w:color w:val="4070a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911" Target="numbering.xml" /><Relationship Type="http://schemas.openxmlformats.org/officeDocument/2006/relationships/styles" Id="rId910" Target="styles.xml" /><Relationship Type="http://schemas.openxmlformats.org/officeDocument/2006/relationships/settings" Id="rId909" Target="settings.xml" /><Relationship Type="http://schemas.openxmlformats.org/officeDocument/2006/relationships/webSettings" Id="rId908" Target="webSettings.xml" /><Relationship Type="http://schemas.openxmlformats.org/officeDocument/2006/relationships/fontTable" Id="rId907" Target="fontTable.xml" /><Relationship Type="http://schemas.openxmlformats.org/officeDocument/2006/relationships/theme" Id="rId906" Target="theme/theme1.xml" /><Relationship Type="http://schemas.openxmlformats.org/officeDocument/2006/relationships/footnotes" Id="rId905" Target="footnotes.xml" /><Relationship Type="http://schemas.openxmlformats.org/officeDocument/2006/relationships/comments" Id="rId904" Target="comments.xml" /><Relationship Id="rId901" Target="header1.xml" Type="http://schemas.openxmlformats.org/officeDocument/2006/relationships/header" /><Relationship Id="rId902" Target="header2.xml" Type="http://schemas.openxmlformats.org/officeDocument/2006/relationships/header" /><Relationship Id="rId903" Target="footer1.xml" Type="http://schemas.openxmlformats.org/officeDocument/2006/relationships/footer" /><Relationship Type="http://schemas.openxmlformats.org/officeDocument/2006/relationships/image" Id="rId912" Target="media/rId912.png" /><Relationship Type="http://schemas.openxmlformats.org/officeDocument/2006/relationships/hyperlink" Id="rId924" Target="https://teamwright.io" TargetMode="External" /></Relationships>
</file>

<file path=word/_rels/footnotes.xml.rels><?xml version="1.0" encoding="UTF-8"?><Relationships xmlns="http://schemas.openxmlformats.org/package/2006/relationships"><Relationship Type="http://schemas.openxmlformats.org/officeDocument/2006/relationships/hyperlink" Id="rId924" Target="https://teamwright.i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

<file path=word/_rels/header2.xml.rels><?xml version="1.0" encoding="UTF-8" standalone="yes"?><Relationships xmlns="http://schemas.openxmlformats.org/package/2006/relationships"><Relationship Id="rId1" Type="http://schemas.openxmlformats.org/officeDocument/2006/relationships/image" Target="media/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request to result</dc:title>
  <dc:creator>Teamwright</dc:creator>
  <cp:keywords/>
  <dcterms:created xsi:type="dcterms:W3CDTF">2026-10-09T06:17:36Z</dcterms:created>
  <dcterms:modified xsi:type="dcterms:W3CDTF">2026-10-09T06:17:36Z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People, AI agents, and connected tools work best when the outcome, context, and review points are clear. This fictional example demonstrates the Teamwright document style without making claims about a live workflow.</vt:lpwstr>
  </property>
  <property fmtid="{D5CDD505-2E9C-101B-9397-08002B2CF9AE}" pid="3" name="date">
    <vt:lpwstr>9 October 2026</vt:lpwstr>
  </property>
  <property fmtid="{D5CDD505-2E9C-101B-9397-08002B2CF9AE}" pid="4" name="subtitle">
    <vt:lpwstr>A practical guide to coordinated AI work</vt:lpwstr>
  </property>
</Properties>
</file>